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8910" w:type="dxa"/>
        <w:shd w:val="clear" w:color="auto" w:fill="FFFFFF"/>
        <w:tblCellMar>
          <w:left w:w="0" w:type="dxa"/>
          <w:right w:w="0" w:type="dxa"/>
        </w:tblCellMar>
        <w:tblLook w:val="04A0" w:firstRow="1" w:lastRow="0" w:firstColumn="1" w:lastColumn="0" w:noHBand="0" w:noVBand="1"/>
      </w:tblPr>
      <w:tblGrid>
        <w:gridCol w:w="6570"/>
        <w:gridCol w:w="2340"/>
      </w:tblGrid>
      <w:tr w:rsidR="009E5E23" w:rsidRPr="009E5E23" w:rsidTr="009E5E23">
        <w:tc>
          <w:tcPr>
            <w:tcW w:w="6570" w:type="dxa"/>
            <w:tcBorders>
              <w:top w:val="nil"/>
              <w:left w:val="nil"/>
              <w:bottom w:val="double" w:sz="12" w:space="0" w:color="auto"/>
              <w:right w:val="nil"/>
            </w:tcBorders>
            <w:shd w:val="clear" w:color="auto" w:fill="FFFFFF"/>
            <w:tcMar>
              <w:top w:w="0" w:type="dxa"/>
              <w:left w:w="108" w:type="dxa"/>
              <w:bottom w:w="0" w:type="dxa"/>
              <w:right w:w="108" w:type="dxa"/>
            </w:tcMar>
            <w:hideMark/>
          </w:tcPr>
          <w:p w:rsidR="009E5E23" w:rsidRPr="009E5E23" w:rsidRDefault="009E5E23" w:rsidP="009E5E23">
            <w:pPr>
              <w:spacing w:after="0" w:line="240" w:lineRule="auto"/>
              <w:rPr>
                <w:rFonts w:ascii="Times New Roman" w:eastAsia="Times New Roman" w:hAnsi="Times New Roman" w:cs="Times New Roman"/>
                <w:color w:val="222222"/>
                <w:sz w:val="20"/>
                <w:szCs w:val="20"/>
              </w:rPr>
            </w:pPr>
            <w:r w:rsidRPr="009E5E23">
              <w:rPr>
                <w:rFonts w:ascii="Verdana" w:eastAsia="Times New Roman" w:hAnsi="Verdana" w:cs="Times New Roman"/>
                <w:b/>
                <w:bCs/>
                <w:color w:val="222222"/>
                <w:sz w:val="20"/>
                <w:szCs w:val="20"/>
              </w:rPr>
              <w:t>Memorandum</w:t>
            </w:r>
          </w:p>
          <w:p w:rsidR="009E5E23" w:rsidRPr="009E5E23" w:rsidRDefault="009E5E23" w:rsidP="009E5E23">
            <w:pPr>
              <w:spacing w:after="0" w:line="240" w:lineRule="auto"/>
              <w:rPr>
                <w:rFonts w:ascii="Times New Roman" w:eastAsia="Times New Roman" w:hAnsi="Times New Roman" w:cs="Times New Roman"/>
                <w:color w:val="222222"/>
                <w:sz w:val="20"/>
                <w:szCs w:val="20"/>
              </w:rPr>
            </w:pPr>
            <w:r w:rsidRPr="009E5E23">
              <w:rPr>
                <w:rFonts w:ascii="Verdana" w:eastAsia="Times New Roman" w:hAnsi="Verdana" w:cs="Times New Roman"/>
                <w:color w:val="0000FF"/>
                <w:sz w:val="20"/>
                <w:szCs w:val="20"/>
              </w:rPr>
              <w:t> </w:t>
            </w:r>
          </w:p>
          <w:p w:rsidR="009E5E23" w:rsidRPr="009E5E23" w:rsidRDefault="009E5E23" w:rsidP="009E5E23">
            <w:pPr>
              <w:spacing w:after="0" w:line="240" w:lineRule="auto"/>
              <w:rPr>
                <w:rFonts w:ascii="Times New Roman" w:eastAsia="Times New Roman" w:hAnsi="Times New Roman" w:cs="Times New Roman"/>
                <w:color w:val="222222"/>
                <w:sz w:val="20"/>
                <w:szCs w:val="20"/>
              </w:rPr>
            </w:pPr>
            <w:r w:rsidRPr="009E5E23">
              <w:rPr>
                <w:rFonts w:ascii="Verdana" w:eastAsia="Times New Roman" w:hAnsi="Verdana" w:cs="Times New Roman"/>
                <w:b/>
                <w:bCs/>
                <w:color w:val="0000FF"/>
                <w:sz w:val="20"/>
                <w:szCs w:val="20"/>
              </w:rPr>
              <w:t>IOC Code of Ethics – London 2012</w:t>
            </w:r>
          </w:p>
          <w:p w:rsidR="009E5E23" w:rsidRPr="009E5E23" w:rsidRDefault="009E5E23" w:rsidP="009E5E23">
            <w:pPr>
              <w:spacing w:after="0" w:line="240" w:lineRule="auto"/>
              <w:rPr>
                <w:rFonts w:ascii="Times New Roman" w:eastAsia="Times New Roman" w:hAnsi="Times New Roman" w:cs="Times New Roman"/>
                <w:color w:val="222222"/>
                <w:sz w:val="20"/>
                <w:szCs w:val="20"/>
              </w:rPr>
            </w:pPr>
            <w:r w:rsidRPr="009E5E23">
              <w:rPr>
                <w:rFonts w:ascii="Verdana" w:eastAsia="Times New Roman" w:hAnsi="Verdana" w:cs="Times New Roman"/>
                <w:b/>
                <w:bCs/>
                <w:color w:val="222222"/>
                <w:sz w:val="20"/>
                <w:szCs w:val="20"/>
              </w:rPr>
              <w:t> </w:t>
            </w:r>
          </w:p>
          <w:p w:rsidR="009E5E23" w:rsidRPr="009E5E23" w:rsidRDefault="009E5E23" w:rsidP="009E5E23">
            <w:pPr>
              <w:spacing w:after="0" w:line="240" w:lineRule="auto"/>
              <w:rPr>
                <w:rFonts w:ascii="Times New Roman" w:eastAsia="Times New Roman" w:hAnsi="Times New Roman" w:cs="Times New Roman"/>
                <w:color w:val="222222"/>
                <w:sz w:val="20"/>
                <w:szCs w:val="20"/>
              </w:rPr>
            </w:pPr>
            <w:r w:rsidRPr="009E5E23">
              <w:rPr>
                <w:rFonts w:ascii="Verdana" w:eastAsia="Times New Roman" w:hAnsi="Verdana" w:cs="Times New Roman"/>
                <w:b/>
                <w:bCs/>
                <w:color w:val="222222"/>
                <w:sz w:val="20"/>
                <w:szCs w:val="20"/>
              </w:rPr>
              <w:t>Monday 9 July  2012</w:t>
            </w:r>
          </w:p>
        </w:tc>
        <w:tc>
          <w:tcPr>
            <w:tcW w:w="2340" w:type="dxa"/>
            <w:tcBorders>
              <w:top w:val="nil"/>
              <w:left w:val="nil"/>
              <w:bottom w:val="double" w:sz="12" w:space="0" w:color="auto"/>
              <w:right w:val="nil"/>
            </w:tcBorders>
            <w:shd w:val="clear" w:color="auto" w:fill="FFFFFF"/>
            <w:tcMar>
              <w:top w:w="0" w:type="dxa"/>
              <w:left w:w="108" w:type="dxa"/>
              <w:bottom w:w="0" w:type="dxa"/>
              <w:right w:w="108" w:type="dxa"/>
            </w:tcMar>
            <w:hideMark/>
          </w:tcPr>
          <w:p w:rsidR="009E5E23" w:rsidRPr="009E5E23" w:rsidRDefault="009E5E23" w:rsidP="009E5E23">
            <w:pPr>
              <w:spacing w:after="0" w:line="240" w:lineRule="auto"/>
              <w:jc w:val="right"/>
              <w:rPr>
                <w:rFonts w:ascii="Times New Roman" w:eastAsia="Times New Roman" w:hAnsi="Times New Roman" w:cs="Times New Roman"/>
                <w:color w:val="222222"/>
                <w:sz w:val="20"/>
                <w:szCs w:val="20"/>
              </w:rPr>
            </w:pPr>
            <w:r w:rsidRPr="009E5E23">
              <w:rPr>
                <w:noProof/>
                <w:sz w:val="20"/>
                <w:szCs w:val="20"/>
              </w:rPr>
              <w:drawing>
                <wp:anchor distT="0" distB="0" distL="114300" distR="114300" simplePos="0" relativeHeight="251658240" behindDoc="0" locked="0" layoutInCell="1" allowOverlap="1" wp14:anchorId="56292009" wp14:editId="02BECAB8">
                  <wp:simplePos x="0" y="0"/>
                  <wp:positionH relativeFrom="column">
                    <wp:posOffset>123825</wp:posOffset>
                  </wp:positionH>
                  <wp:positionV relativeFrom="paragraph">
                    <wp:posOffset>-390525</wp:posOffset>
                  </wp:positionV>
                  <wp:extent cx="1533525" cy="12477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5">
                            <a:extLst>
                              <a:ext uri="{28A0092B-C50C-407E-A947-70E740481C1C}">
                                <a14:useLocalDpi xmlns:a14="http://schemas.microsoft.com/office/drawing/2010/main" val="0"/>
                              </a:ext>
                            </a:extLst>
                          </a:blip>
                          <a:stretch>
                            <a:fillRect/>
                          </a:stretch>
                        </pic:blipFill>
                        <pic:spPr>
                          <a:xfrm>
                            <a:off x="0" y="0"/>
                            <a:ext cx="1533525" cy="1247775"/>
                          </a:xfrm>
                          <a:prstGeom prst="rect">
                            <a:avLst/>
                          </a:prstGeom>
                        </pic:spPr>
                      </pic:pic>
                    </a:graphicData>
                  </a:graphic>
                  <wp14:sizeRelH relativeFrom="page">
                    <wp14:pctWidth>0</wp14:pctWidth>
                  </wp14:sizeRelH>
                  <wp14:sizeRelV relativeFrom="page">
                    <wp14:pctHeight>0</wp14:pctHeight>
                  </wp14:sizeRelV>
                </wp:anchor>
              </w:drawing>
            </w:r>
          </w:p>
        </w:tc>
      </w:tr>
    </w:tbl>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Dear Members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Please find enclosed important information from the </w:t>
      </w:r>
      <w:r w:rsidRPr="009E5E23">
        <w:rPr>
          <w:rFonts w:ascii="Verdana" w:eastAsia="Times New Roman" w:hAnsi="Verdana" w:cs="Arial"/>
          <w:i/>
          <w:iCs/>
          <w:color w:val="222222"/>
          <w:sz w:val="20"/>
          <w:szCs w:val="20"/>
        </w:rPr>
        <w:t>IOC Ethics Commission</w:t>
      </w:r>
      <w:r w:rsidRPr="009E5E23">
        <w:rPr>
          <w:rFonts w:ascii="Verdana" w:eastAsia="Times New Roman" w:hAnsi="Verdana" w:cs="Arial"/>
          <w:color w:val="222222"/>
          <w:sz w:val="20"/>
          <w:szCs w:val="20"/>
        </w:rPr>
        <w:t> on Rules Associated with </w:t>
      </w:r>
      <w:r w:rsidRPr="009E5E23">
        <w:rPr>
          <w:rFonts w:ascii="Verdana" w:eastAsia="Times New Roman" w:hAnsi="Verdana" w:cs="Arial"/>
          <w:b/>
          <w:bCs/>
          <w:i/>
          <w:iCs/>
          <w:color w:val="222222"/>
          <w:sz w:val="20"/>
          <w:szCs w:val="20"/>
        </w:rPr>
        <w:t>betting</w:t>
      </w:r>
      <w:r w:rsidRPr="009E5E23">
        <w:rPr>
          <w:rFonts w:ascii="Verdana" w:eastAsia="Times New Roman" w:hAnsi="Verdana" w:cs="Arial"/>
          <w:color w:val="222222"/>
          <w:sz w:val="20"/>
          <w:szCs w:val="20"/>
        </w:rPr>
        <w:t> linked to the </w:t>
      </w:r>
      <w:r w:rsidRPr="009E5E23">
        <w:rPr>
          <w:rFonts w:ascii="Verdana" w:eastAsia="Times New Roman" w:hAnsi="Verdana" w:cs="Arial"/>
          <w:b/>
          <w:bCs/>
          <w:i/>
          <w:iCs/>
          <w:color w:val="222222"/>
          <w:sz w:val="20"/>
          <w:szCs w:val="20"/>
        </w:rPr>
        <w:t>London 2012 Olympic Games</w:t>
      </w:r>
      <w:r w:rsidRPr="009E5E23">
        <w:rPr>
          <w:rFonts w:ascii="Verdana" w:eastAsia="Times New Roman" w:hAnsi="Verdana" w:cs="Arial"/>
          <w:color w:val="222222"/>
          <w:sz w:val="20"/>
          <w:szCs w:val="20"/>
        </w:rPr>
        <w:t> including any form of cheating affecting the results of Olympic competitions in the context of betting.</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Please pass this on to all accredited personnel for London 2012 – </w:t>
      </w:r>
      <w:r w:rsidRPr="009E5E23">
        <w:rPr>
          <w:rFonts w:ascii="Verdana" w:eastAsia="Times New Roman" w:hAnsi="Verdana" w:cs="Arial"/>
          <w:b/>
          <w:bCs/>
          <w:i/>
          <w:iCs/>
          <w:color w:val="222222"/>
          <w:sz w:val="20"/>
          <w:szCs w:val="20"/>
        </w:rPr>
        <w:t>athletes, team managers, team support personnel, staff, administrators, medical people</w:t>
      </w:r>
      <w:r w:rsidRPr="009E5E23">
        <w:rPr>
          <w:rFonts w:ascii="Verdana" w:eastAsia="Times New Roman" w:hAnsi="Verdana" w:cs="Arial"/>
          <w:color w:val="222222"/>
          <w:sz w:val="20"/>
          <w:szCs w:val="20"/>
        </w:rPr>
        <w:t> and </w:t>
      </w:r>
      <w:r w:rsidRPr="009E5E23">
        <w:rPr>
          <w:rFonts w:ascii="Verdana" w:eastAsia="Times New Roman" w:hAnsi="Verdana" w:cs="Arial"/>
          <w:b/>
          <w:bCs/>
          <w:i/>
          <w:iCs/>
          <w:color w:val="222222"/>
          <w:sz w:val="20"/>
          <w:szCs w:val="20"/>
        </w:rPr>
        <w:t xml:space="preserve">any accredited </w:t>
      </w:r>
      <w:proofErr w:type="spellStart"/>
      <w:r w:rsidRPr="009E5E23">
        <w:rPr>
          <w:rFonts w:ascii="Verdana" w:eastAsia="Times New Roman" w:hAnsi="Verdana" w:cs="Arial"/>
          <w:b/>
          <w:bCs/>
          <w:i/>
          <w:iCs/>
          <w:color w:val="222222"/>
          <w:sz w:val="20"/>
          <w:szCs w:val="20"/>
        </w:rPr>
        <w:t>person</w:t>
      </w:r>
      <w:r w:rsidRPr="009E5E23">
        <w:rPr>
          <w:rFonts w:ascii="Verdana" w:eastAsia="Times New Roman" w:hAnsi="Verdana" w:cs="Arial"/>
          <w:color w:val="222222"/>
          <w:sz w:val="20"/>
          <w:szCs w:val="20"/>
        </w:rPr>
        <w:t>going</w:t>
      </w:r>
      <w:proofErr w:type="spellEnd"/>
      <w:r w:rsidRPr="009E5E23">
        <w:rPr>
          <w:rFonts w:ascii="Verdana" w:eastAsia="Times New Roman" w:hAnsi="Verdana" w:cs="Arial"/>
          <w:color w:val="222222"/>
          <w:sz w:val="20"/>
          <w:szCs w:val="20"/>
        </w:rPr>
        <w:t xml:space="preserve"> to London 2012.</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Below is a short summary – please see the detail in Annex 2 attached.</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jc w:val="center"/>
        <w:rPr>
          <w:rFonts w:ascii="Arial" w:eastAsia="Times New Roman" w:hAnsi="Arial" w:cs="Arial"/>
          <w:color w:val="222222"/>
          <w:sz w:val="20"/>
          <w:szCs w:val="20"/>
        </w:rPr>
      </w:pPr>
      <w:r w:rsidRPr="009E5E23">
        <w:rPr>
          <w:rFonts w:ascii="Verdana" w:eastAsia="Times New Roman" w:hAnsi="Verdana" w:cs="Arial"/>
          <w:color w:val="222222"/>
          <w:sz w:val="20"/>
          <w:szCs w:val="20"/>
        </w:rPr>
        <w:t>_______________________________________</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1.  </w:t>
      </w:r>
      <w:r w:rsidRPr="009E5E23">
        <w:rPr>
          <w:rFonts w:ascii="Verdana" w:eastAsia="Times New Roman" w:hAnsi="Verdana" w:cs="Arial"/>
          <w:b/>
          <w:bCs/>
          <w:i/>
          <w:iCs/>
          <w:color w:val="222222"/>
          <w:sz w:val="20"/>
          <w:szCs w:val="20"/>
        </w:rPr>
        <w:t>IOC Code of Ethics</w:t>
      </w:r>
      <w:r w:rsidRPr="009E5E23">
        <w:rPr>
          <w:rFonts w:ascii="Verdana" w:eastAsia="Times New Roman" w:hAnsi="Verdana" w:cs="Arial"/>
          <w:color w:val="222222"/>
          <w:sz w:val="20"/>
          <w:szCs w:val="20"/>
        </w:rPr>
        <w:t> – Breaches of </w:t>
      </w:r>
      <w:r w:rsidRPr="009E5E23">
        <w:rPr>
          <w:rFonts w:ascii="Verdana" w:eastAsia="Times New Roman" w:hAnsi="Verdana" w:cs="Arial"/>
          <w:b/>
          <w:bCs/>
          <w:color w:val="222222"/>
          <w:sz w:val="20"/>
          <w:szCs w:val="20"/>
        </w:rPr>
        <w:t>Articles A.5</w:t>
      </w:r>
      <w:r w:rsidRPr="009E5E23">
        <w:rPr>
          <w:rFonts w:ascii="Verdana" w:eastAsia="Times New Roman" w:hAnsi="Verdana" w:cs="Arial"/>
          <w:color w:val="222222"/>
          <w:sz w:val="20"/>
          <w:szCs w:val="20"/>
        </w:rPr>
        <w:t> and </w:t>
      </w:r>
      <w:r w:rsidRPr="009E5E23">
        <w:rPr>
          <w:rFonts w:ascii="Verdana" w:eastAsia="Times New Roman" w:hAnsi="Verdana" w:cs="Arial"/>
          <w:b/>
          <w:bCs/>
          <w:i/>
          <w:iCs/>
          <w:color w:val="222222"/>
          <w:sz w:val="20"/>
          <w:szCs w:val="20"/>
        </w:rPr>
        <w:t>A.6 Betting / Influencing</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i/>
          <w:iCs/>
          <w:color w:val="222222"/>
          <w:sz w:val="20"/>
          <w:szCs w:val="20"/>
        </w:rPr>
        <w:t>     </w:t>
      </w:r>
      <w:proofErr w:type="gramStart"/>
      <w:r w:rsidRPr="009E5E23">
        <w:rPr>
          <w:rFonts w:ascii="Verdana" w:eastAsia="Times New Roman" w:hAnsi="Verdana" w:cs="Arial"/>
          <w:b/>
          <w:bCs/>
          <w:i/>
          <w:iCs/>
          <w:color w:val="222222"/>
          <w:sz w:val="20"/>
          <w:szCs w:val="20"/>
        </w:rPr>
        <w:t>the</w:t>
      </w:r>
      <w:proofErr w:type="gramEnd"/>
      <w:r w:rsidRPr="009E5E23">
        <w:rPr>
          <w:rFonts w:ascii="Verdana" w:eastAsia="Times New Roman" w:hAnsi="Verdana" w:cs="Arial"/>
          <w:b/>
          <w:bCs/>
          <w:i/>
          <w:iCs/>
          <w:color w:val="222222"/>
          <w:sz w:val="20"/>
          <w:szCs w:val="20"/>
        </w:rPr>
        <w:t xml:space="preserve"> Outcomes of Matches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The IOC Code of Ethics applies to all “participants” for the ‘period’ of the London 2012 Olympic Games.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This period is from the day the Athletes Village opens till after the Closing Ceremony – 16 July – 15 August 2012 inclusive.</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The IOC Code of Ethics as regards betting applies to all accredited participants: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proofErr w:type="gramStart"/>
      <w:r w:rsidRPr="009E5E23">
        <w:rPr>
          <w:rFonts w:ascii="Verdana" w:eastAsia="Times New Roman" w:hAnsi="Verdana" w:cs="Arial"/>
          <w:color w:val="222222"/>
          <w:sz w:val="20"/>
          <w:szCs w:val="20"/>
        </w:rPr>
        <w:t>o</w:t>
      </w:r>
      <w:proofErr w:type="gramEnd"/>
      <w:r w:rsidRPr="009E5E23">
        <w:rPr>
          <w:rFonts w:ascii="Verdana" w:eastAsia="Times New Roman" w:hAnsi="Verdana" w:cs="Arial"/>
          <w:color w:val="222222"/>
          <w:sz w:val="20"/>
          <w:szCs w:val="20"/>
        </w:rPr>
        <w:t>          Individual competitors and teams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proofErr w:type="gramStart"/>
      <w:r w:rsidRPr="009E5E23">
        <w:rPr>
          <w:rFonts w:ascii="Verdana" w:eastAsia="Times New Roman" w:hAnsi="Verdana" w:cs="Arial"/>
          <w:color w:val="222222"/>
          <w:sz w:val="20"/>
          <w:szCs w:val="20"/>
        </w:rPr>
        <w:t>o</w:t>
      </w:r>
      <w:proofErr w:type="gramEnd"/>
      <w:r w:rsidRPr="009E5E23">
        <w:rPr>
          <w:rFonts w:ascii="Verdana" w:eastAsia="Times New Roman" w:hAnsi="Verdana" w:cs="Arial"/>
          <w:color w:val="222222"/>
          <w:sz w:val="20"/>
          <w:szCs w:val="20"/>
        </w:rPr>
        <w:t>          Officials, managers and other members of any delegation</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proofErr w:type="gramStart"/>
      <w:r w:rsidRPr="009E5E23">
        <w:rPr>
          <w:rFonts w:ascii="Verdana" w:eastAsia="Times New Roman" w:hAnsi="Verdana" w:cs="Arial"/>
          <w:color w:val="222222"/>
          <w:sz w:val="20"/>
          <w:szCs w:val="20"/>
        </w:rPr>
        <w:t>o</w:t>
      </w:r>
      <w:proofErr w:type="gramEnd"/>
      <w:r w:rsidRPr="009E5E23">
        <w:rPr>
          <w:rFonts w:ascii="Verdana" w:eastAsia="Times New Roman" w:hAnsi="Verdana" w:cs="Arial"/>
          <w:color w:val="222222"/>
          <w:sz w:val="20"/>
          <w:szCs w:val="20"/>
        </w:rPr>
        <w:t>          Referees and jury members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proofErr w:type="gramStart"/>
      <w:r w:rsidRPr="009E5E23">
        <w:rPr>
          <w:rFonts w:ascii="Verdana" w:eastAsia="Times New Roman" w:hAnsi="Verdana" w:cs="Arial"/>
          <w:color w:val="222222"/>
          <w:sz w:val="20"/>
          <w:szCs w:val="20"/>
        </w:rPr>
        <w:t>o</w:t>
      </w:r>
      <w:proofErr w:type="gramEnd"/>
      <w:r w:rsidRPr="009E5E23">
        <w:rPr>
          <w:rFonts w:ascii="Verdana" w:eastAsia="Times New Roman" w:hAnsi="Verdana" w:cs="Arial"/>
          <w:color w:val="222222"/>
          <w:sz w:val="20"/>
          <w:szCs w:val="20"/>
        </w:rPr>
        <w:t>          All other accredited persons.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Article A.5 of the IOC Code of Ethics</w:t>
      </w:r>
      <w:r w:rsidRPr="009E5E23">
        <w:rPr>
          <w:rFonts w:ascii="Verdana" w:eastAsia="Times New Roman" w:hAnsi="Verdana" w:cs="Arial"/>
          <w:color w:val="222222"/>
          <w:sz w:val="20"/>
          <w:szCs w:val="20"/>
        </w:rPr>
        <w:t> provides that:</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9E5E23">
        <w:rPr>
          <w:rFonts w:ascii="Courier New" w:eastAsia="Times New Roman" w:hAnsi="Courier New" w:cs="Courier New"/>
          <w:color w:val="222222"/>
          <w:sz w:val="20"/>
          <w:szCs w:val="20"/>
        </w:rPr>
        <w:t>o</w:t>
      </w:r>
      <w:proofErr w:type="gramEnd"/>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All forms of participation in, or support for betting related to the Olympic Games, and all forms of promotion of betting related to the Olympic Games are prohibited.</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Article A.6 of the Code of Ethics</w:t>
      </w:r>
      <w:r w:rsidRPr="009E5E23">
        <w:rPr>
          <w:rFonts w:ascii="Verdana" w:eastAsia="Times New Roman" w:hAnsi="Verdana" w:cs="Arial"/>
          <w:color w:val="222222"/>
          <w:sz w:val="20"/>
          <w:szCs w:val="20"/>
        </w:rPr>
        <w:t> provides that:</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before="100" w:beforeAutospacing="1" w:after="100" w:afterAutospacing="1" w:line="240" w:lineRule="auto"/>
        <w:rPr>
          <w:rFonts w:ascii="Arial" w:eastAsia="Times New Roman" w:hAnsi="Arial" w:cs="Arial"/>
          <w:color w:val="222222"/>
          <w:sz w:val="20"/>
          <w:szCs w:val="20"/>
        </w:rPr>
      </w:pPr>
      <w:r w:rsidRPr="009E5E23">
        <w:rPr>
          <w:rFonts w:ascii="Courier New" w:eastAsia="Times New Roman" w:hAnsi="Courier New" w:cs="Courier New"/>
          <w:color w:val="222222"/>
          <w:sz w:val="20"/>
          <w:szCs w:val="20"/>
        </w:rPr>
        <w:t>o</w:t>
      </w:r>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Also, in the context of betting, participants in the Olympic Games must not, by any manner whatsoever, infringe the principle of fair play, show unsporting conduct, or attempt to influence the course or result of a competition, or any part thereof, in a manner contrary to sporting ethics.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roofErr w:type="gramStart"/>
      <w:r w:rsidRPr="009E5E23">
        <w:rPr>
          <w:rFonts w:ascii="Courier New" w:eastAsia="Times New Roman" w:hAnsi="Courier New" w:cs="Courier New"/>
          <w:color w:val="222222"/>
          <w:sz w:val="20"/>
          <w:szCs w:val="20"/>
        </w:rPr>
        <w:t>o</w:t>
      </w:r>
      <w:proofErr w:type="gramEnd"/>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Any attempt to engage in conduct prohibited in Articles A.5 or A.6 will also constitutes a breach.</w:t>
      </w:r>
    </w:p>
    <w:p w:rsidR="009E5E23" w:rsidRPr="009E5E23" w:rsidRDefault="009E5E23" w:rsidP="009E5E23">
      <w:pPr>
        <w:shd w:val="clear" w:color="auto" w:fill="FFFFFF"/>
        <w:spacing w:after="0" w:line="240" w:lineRule="auto"/>
        <w:jc w:val="center"/>
        <w:rPr>
          <w:rFonts w:ascii="Arial" w:eastAsia="Times New Roman" w:hAnsi="Arial" w:cs="Arial"/>
          <w:color w:val="222222"/>
          <w:sz w:val="20"/>
          <w:szCs w:val="20"/>
        </w:rPr>
      </w:pPr>
      <w:r w:rsidRPr="009E5E23">
        <w:rPr>
          <w:rFonts w:ascii="Verdana" w:eastAsia="Times New Roman" w:hAnsi="Verdana" w:cs="Arial"/>
          <w:color w:val="222222"/>
          <w:sz w:val="20"/>
          <w:szCs w:val="20"/>
        </w:rPr>
        <w:t>_______________________________________</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lastRenderedPageBreak/>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2.  BWF’s Position on Betting / Influencing the Outcomes of Matches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Please note below information on the BWF’s position on betting on badminton and the integrity of the Game. The Codes of Conduct deal with consequences of infringements in these areas – betting and influencing the result of a match.</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jc w:val="center"/>
        <w:rPr>
          <w:rFonts w:ascii="Arial" w:eastAsia="Times New Roman" w:hAnsi="Arial" w:cs="Arial"/>
          <w:color w:val="222222"/>
          <w:sz w:val="20"/>
          <w:szCs w:val="20"/>
        </w:rPr>
      </w:pPr>
      <w:r w:rsidRPr="009E5E23">
        <w:rPr>
          <w:rFonts w:ascii="Verdana" w:eastAsia="Times New Roman" w:hAnsi="Verdana" w:cs="Arial"/>
          <w:color w:val="222222"/>
          <w:sz w:val="20"/>
          <w:szCs w:val="20"/>
        </w:rPr>
        <w:t>_____________________________________________</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BWF Constitution – Clause 4</w:t>
      </w:r>
      <w:proofErr w:type="gramStart"/>
      <w:r w:rsidRPr="009E5E23">
        <w:rPr>
          <w:rFonts w:ascii="Verdana" w:eastAsia="Times New Roman" w:hAnsi="Verdana" w:cs="Arial"/>
          <w:b/>
          <w:bCs/>
          <w:color w:val="222222"/>
          <w:sz w:val="20"/>
          <w:szCs w:val="20"/>
        </w:rPr>
        <w:t>,2</w:t>
      </w:r>
      <w:proofErr w:type="gramEnd"/>
      <w:r w:rsidRPr="009E5E23">
        <w:rPr>
          <w:rFonts w:ascii="Verdana" w:eastAsia="Times New Roman" w:hAnsi="Verdana" w:cs="Arial"/>
          <w:b/>
          <w:bCs/>
          <w:color w:val="222222"/>
          <w:sz w:val="20"/>
          <w:szCs w:val="20"/>
        </w:rPr>
        <w:t xml:space="preserve"> Fair Play</w:t>
      </w:r>
      <w:r w:rsidRPr="009E5E23">
        <w:rPr>
          <w:rFonts w:ascii="Verdana" w:eastAsia="Times New Roman" w:hAnsi="Verdana" w:cs="Arial"/>
          <w:color w:val="222222"/>
          <w:sz w:val="20"/>
          <w:szCs w:val="20"/>
        </w:rPr>
        <w:t> (</w:t>
      </w:r>
      <w:hyperlink r:id="rId6" w:tgtFrame="_blank" w:history="1">
        <w:r w:rsidRPr="009E5E23">
          <w:rPr>
            <w:rFonts w:ascii="Verdana" w:eastAsia="Times New Roman" w:hAnsi="Verdana" w:cs="Arial"/>
            <w:color w:val="1155CC"/>
            <w:sz w:val="20"/>
            <w:szCs w:val="20"/>
            <w:u w:val="single"/>
          </w:rPr>
          <w:t>linked here</w:t>
        </w:r>
      </w:hyperlink>
      <w:r w:rsidRPr="009E5E23">
        <w:rPr>
          <w:rFonts w:ascii="Verdana" w:eastAsia="Times New Roman" w:hAnsi="Verdana" w:cs="Arial"/>
          <w:color w:val="222222"/>
          <w:sz w:val="20"/>
          <w:szCs w:val="20"/>
        </w:rPr>
        <w:t>)</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“The Federation and its Members shall take all reasonable care to ensure competitions and those participating in events respect “fair play”. The Federation promotes the highest degree of sportsmanship and integrity among the players, officials and administrators.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Players at all levels must be able to participate in Badminton which is free of drugs, violence, discrimination, technical manipulation, cheating and any form of exploitation in an attempt to win or to manipulate the outcome of a match”.</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jc w:val="center"/>
        <w:rPr>
          <w:rFonts w:ascii="Arial" w:eastAsia="Times New Roman" w:hAnsi="Arial" w:cs="Arial"/>
          <w:color w:val="222222"/>
          <w:sz w:val="20"/>
          <w:szCs w:val="20"/>
        </w:rPr>
      </w:pPr>
      <w:r w:rsidRPr="009E5E23">
        <w:rPr>
          <w:rFonts w:ascii="Verdana" w:eastAsia="Times New Roman" w:hAnsi="Verdana" w:cs="Arial"/>
          <w:color w:val="222222"/>
          <w:sz w:val="20"/>
          <w:szCs w:val="20"/>
        </w:rPr>
        <w:t>_____________________________________________</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General Competition Regulations </w:t>
      </w:r>
      <w:r w:rsidRPr="009E5E23">
        <w:rPr>
          <w:rFonts w:ascii="Verdana" w:eastAsia="Times New Roman" w:hAnsi="Verdana" w:cs="Arial"/>
          <w:color w:val="222222"/>
          <w:sz w:val="20"/>
          <w:szCs w:val="20"/>
        </w:rPr>
        <w:t>(linked here)</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Part III, Section 1B, Appendix 4 - Players Code of Conduct</w:t>
      </w:r>
      <w:r w:rsidRPr="009E5E23">
        <w:rPr>
          <w:rFonts w:ascii="Verdana" w:eastAsia="Times New Roman" w:hAnsi="Verdana" w:cs="Arial"/>
          <w:color w:val="222222"/>
          <w:sz w:val="20"/>
          <w:szCs w:val="20"/>
        </w:rPr>
        <w:t> (</w:t>
      </w:r>
      <w:hyperlink r:id="rId7" w:tgtFrame="_blank" w:history="1">
        <w:r w:rsidRPr="009E5E23">
          <w:rPr>
            <w:rFonts w:ascii="Verdana" w:eastAsia="Times New Roman" w:hAnsi="Verdana" w:cs="Arial"/>
            <w:color w:val="1155CC"/>
            <w:sz w:val="20"/>
            <w:szCs w:val="20"/>
            <w:u w:val="single"/>
          </w:rPr>
          <w:t>linked here</w:t>
        </w:r>
      </w:hyperlink>
      <w:r w:rsidRPr="009E5E23">
        <w:rPr>
          <w:rFonts w:ascii="Verdana" w:eastAsia="Times New Roman" w:hAnsi="Verdana" w:cs="Arial"/>
          <w:color w:val="222222"/>
          <w:sz w:val="20"/>
          <w:szCs w:val="20"/>
        </w:rPr>
        <w:t>)</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Major offences for Players - Relevant clauses: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9E5E23">
        <w:rPr>
          <w:rFonts w:ascii="Courier New" w:eastAsia="Times New Roman" w:hAnsi="Courier New" w:cs="Courier New"/>
          <w:color w:val="222222"/>
          <w:sz w:val="20"/>
          <w:szCs w:val="20"/>
        </w:rPr>
        <w:t>o</w:t>
      </w:r>
      <w:proofErr w:type="gramEnd"/>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5.1 Conduct contrary to the integrity of the game</w:t>
      </w:r>
    </w:p>
    <w:p w:rsidR="009E5E23" w:rsidRPr="009E5E23" w:rsidRDefault="009E5E23" w:rsidP="009E5E23">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9E5E23">
        <w:rPr>
          <w:rFonts w:ascii="Courier New" w:eastAsia="Times New Roman" w:hAnsi="Courier New" w:cs="Courier New"/>
          <w:color w:val="222222"/>
          <w:sz w:val="20"/>
          <w:szCs w:val="20"/>
        </w:rPr>
        <w:t>o</w:t>
      </w:r>
      <w:proofErr w:type="gramEnd"/>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5.2 Wagers - Wagering anything of value in connection with a tournament in which one will be, or is, competing.</w:t>
      </w:r>
    </w:p>
    <w:p w:rsidR="009E5E23" w:rsidRPr="009E5E23" w:rsidRDefault="009E5E23" w:rsidP="009E5E23">
      <w:pPr>
        <w:shd w:val="clear" w:color="auto" w:fill="FFFFFF"/>
        <w:spacing w:before="100" w:beforeAutospacing="1" w:after="100" w:afterAutospacing="1" w:line="240" w:lineRule="auto"/>
        <w:rPr>
          <w:rFonts w:ascii="Arial" w:eastAsia="Times New Roman" w:hAnsi="Arial" w:cs="Arial"/>
          <w:color w:val="222222"/>
          <w:sz w:val="20"/>
          <w:szCs w:val="20"/>
        </w:rPr>
      </w:pPr>
      <w:proofErr w:type="gramStart"/>
      <w:r w:rsidRPr="009E5E23">
        <w:rPr>
          <w:rFonts w:ascii="Courier New" w:eastAsia="Times New Roman" w:hAnsi="Courier New" w:cs="Courier New"/>
          <w:color w:val="222222"/>
          <w:sz w:val="20"/>
          <w:szCs w:val="20"/>
        </w:rPr>
        <w:t>o</w:t>
      </w:r>
      <w:proofErr w:type="gramEnd"/>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5.3 Bribes or other payments - Offering, giving, soliciting, or accepting, or agreeing to offer, give, solicit, or accept, anything of value to or from any person with the intent to influence any player’s efforts or the result of a match  in any BWF-sanctioned tournament.</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Part III, Section 1B, Appendix 5 – Declaration on Integrity of Matches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Part III, Section 1B, Appendix 9 – Coaches and Officials Code of Conduct</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Relevant clause:</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before="100" w:beforeAutospacing="1" w:after="100" w:afterAutospacing="1" w:line="240" w:lineRule="auto"/>
        <w:rPr>
          <w:rFonts w:ascii="Arial" w:eastAsia="Times New Roman" w:hAnsi="Arial" w:cs="Arial"/>
          <w:color w:val="222222"/>
          <w:sz w:val="20"/>
          <w:szCs w:val="20"/>
        </w:rPr>
      </w:pPr>
      <w:r w:rsidRPr="009E5E23">
        <w:rPr>
          <w:rFonts w:ascii="Courier New" w:eastAsia="Times New Roman" w:hAnsi="Courier New" w:cs="Courier New"/>
          <w:color w:val="222222"/>
          <w:sz w:val="20"/>
          <w:szCs w:val="20"/>
        </w:rPr>
        <w:t>o</w:t>
      </w:r>
      <w:r w:rsidRPr="009E5E23">
        <w:rPr>
          <w:rFonts w:ascii="Times New Roman" w:eastAsia="Times New Roman" w:hAnsi="Times New Roman" w:cs="Times New Roman"/>
          <w:color w:val="222222"/>
          <w:sz w:val="20"/>
          <w:szCs w:val="20"/>
        </w:rPr>
        <w:t>    </w:t>
      </w:r>
      <w:r w:rsidRPr="009E5E23">
        <w:rPr>
          <w:rFonts w:ascii="Verdana" w:eastAsia="Times New Roman" w:hAnsi="Verdana" w:cs="Arial"/>
          <w:color w:val="222222"/>
          <w:sz w:val="20"/>
          <w:szCs w:val="20"/>
        </w:rPr>
        <w:t>5.1 - Wagering anything of value in connection with a tournament in which one will be, or is working at, in any accredited capacity may result in disciplinary proceedings including possible fines and suspension against Coaches ,Team Officials and Technical Officials who are reported for such a breach’</w:t>
      </w:r>
    </w:p>
    <w:p w:rsidR="009E5E23" w:rsidRPr="009E5E23" w:rsidRDefault="009E5E23" w:rsidP="009E5E23">
      <w:pPr>
        <w:shd w:val="clear" w:color="auto" w:fill="FFFFFF"/>
        <w:spacing w:after="0" w:line="240" w:lineRule="auto"/>
        <w:jc w:val="center"/>
        <w:rPr>
          <w:rFonts w:ascii="Arial" w:eastAsia="Times New Roman" w:hAnsi="Arial" w:cs="Arial"/>
          <w:color w:val="222222"/>
          <w:sz w:val="20"/>
          <w:szCs w:val="20"/>
        </w:rPr>
      </w:pPr>
      <w:r w:rsidRPr="009E5E23">
        <w:rPr>
          <w:rFonts w:ascii="Verdana" w:eastAsia="Times New Roman" w:hAnsi="Verdana" w:cs="Arial"/>
          <w:color w:val="222222"/>
          <w:sz w:val="20"/>
          <w:szCs w:val="20"/>
        </w:rPr>
        <w:t>_______________________________________</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bookmarkStart w:id="0" w:name="_GoBack"/>
      <w:bookmarkEnd w:id="0"/>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Default="009E5E23" w:rsidP="009E5E23">
      <w:pPr>
        <w:shd w:val="clear" w:color="auto" w:fill="FFFFFF"/>
        <w:spacing w:after="0" w:line="240" w:lineRule="auto"/>
        <w:rPr>
          <w:rFonts w:ascii="Verdana" w:eastAsia="Times New Roman" w:hAnsi="Verdana" w:cs="Arial"/>
          <w:b/>
          <w:bCs/>
          <w:color w:val="222222"/>
          <w:sz w:val="20"/>
          <w:szCs w:val="20"/>
        </w:rPr>
      </w:pPr>
    </w:p>
    <w:p w:rsidR="009E5E23" w:rsidRDefault="009E5E23" w:rsidP="009E5E23">
      <w:pPr>
        <w:shd w:val="clear" w:color="auto" w:fill="FFFFFF"/>
        <w:spacing w:after="0" w:line="240" w:lineRule="auto"/>
        <w:rPr>
          <w:rFonts w:ascii="Verdana" w:eastAsia="Times New Roman" w:hAnsi="Verdana" w:cs="Arial"/>
          <w:b/>
          <w:bCs/>
          <w:color w:val="222222"/>
          <w:sz w:val="20"/>
          <w:szCs w:val="20"/>
        </w:rPr>
      </w:pP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b/>
          <w:bCs/>
          <w:color w:val="222222"/>
          <w:sz w:val="20"/>
          <w:szCs w:val="20"/>
        </w:rPr>
        <w:t>3.  Betting “Whistle Blower” system</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The BWF has a system for people to provide confidential information about betting in badminton. This “Whistle Blower” reporting system allows individuals to report in a confidential way, cases where players, coaches, administrators, technical officials are involved in betting which is contrary to the Code of Conduct and the integrity of Badminton.</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The BWF website (</w:t>
      </w:r>
      <w:hyperlink r:id="rId8" w:tgtFrame="_blank" w:history="1">
        <w:r w:rsidRPr="009E5E23">
          <w:rPr>
            <w:rFonts w:ascii="Verdana" w:eastAsia="Times New Roman" w:hAnsi="Verdana" w:cs="Arial"/>
            <w:color w:val="1155CC"/>
            <w:sz w:val="20"/>
            <w:szCs w:val="20"/>
            <w:u w:val="single"/>
          </w:rPr>
          <w:t>linked here</w:t>
        </w:r>
      </w:hyperlink>
      <w:r w:rsidRPr="009E5E23">
        <w:rPr>
          <w:rFonts w:ascii="Verdana" w:eastAsia="Times New Roman" w:hAnsi="Verdana" w:cs="Arial"/>
          <w:color w:val="222222"/>
          <w:sz w:val="20"/>
          <w:szCs w:val="20"/>
        </w:rPr>
        <w:t>) has more information on the “</w:t>
      </w:r>
      <w:r w:rsidRPr="009E5E23">
        <w:rPr>
          <w:rFonts w:ascii="Verdana" w:eastAsia="Times New Roman" w:hAnsi="Verdana" w:cs="Arial"/>
          <w:b/>
          <w:bCs/>
          <w:i/>
          <w:iCs/>
          <w:color w:val="222222"/>
          <w:sz w:val="20"/>
          <w:szCs w:val="20"/>
        </w:rPr>
        <w:t>Whistle Blower</w:t>
      </w:r>
      <w:r w:rsidRPr="009E5E23">
        <w:rPr>
          <w:rFonts w:ascii="Verdana" w:eastAsia="Times New Roman" w:hAnsi="Verdana" w:cs="Arial"/>
          <w:color w:val="222222"/>
          <w:sz w:val="20"/>
          <w:szCs w:val="20"/>
        </w:rPr>
        <w:t>” reporting system.</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Please ensure that your players, coaches, technical officials, administrators, staff and volunteers are all aware of this and possible consequences of betting in badminton tournaments where individual players, coaches, team managers, technical officials, staff and volunteers are involved.</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jc w:val="center"/>
        <w:rPr>
          <w:rFonts w:ascii="Arial" w:eastAsia="Times New Roman" w:hAnsi="Arial" w:cs="Arial"/>
          <w:color w:val="222222"/>
          <w:sz w:val="20"/>
          <w:szCs w:val="20"/>
        </w:rPr>
      </w:pPr>
      <w:r w:rsidRPr="009E5E23">
        <w:rPr>
          <w:rFonts w:ascii="Verdana" w:eastAsia="Times New Roman" w:hAnsi="Verdana" w:cs="Arial"/>
          <w:color w:val="222222"/>
          <w:sz w:val="20"/>
          <w:szCs w:val="20"/>
        </w:rPr>
        <w:t>_______________________________________</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Kind regards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 xml:space="preserve">Stuart </w:t>
      </w:r>
      <w:proofErr w:type="spellStart"/>
      <w:r w:rsidRPr="009E5E23">
        <w:rPr>
          <w:rFonts w:ascii="Verdana" w:eastAsia="Times New Roman" w:hAnsi="Verdana" w:cs="Arial"/>
          <w:color w:val="222222"/>
          <w:sz w:val="20"/>
          <w:szCs w:val="20"/>
        </w:rPr>
        <w:t>Borrie</w:t>
      </w:r>
      <w:proofErr w:type="spellEnd"/>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Director of Operations</w:t>
      </w:r>
    </w:p>
    <w:p w:rsidR="009E5E23" w:rsidRPr="009E5E23" w:rsidRDefault="009E5E23" w:rsidP="009E5E23">
      <w:pPr>
        <w:shd w:val="clear" w:color="auto" w:fill="FFFFFF"/>
        <w:spacing w:after="0" w:line="240" w:lineRule="auto"/>
        <w:rPr>
          <w:rFonts w:ascii="Arial" w:eastAsia="Times New Roman" w:hAnsi="Arial" w:cs="Arial"/>
          <w:color w:val="222222"/>
          <w:sz w:val="20"/>
          <w:szCs w:val="20"/>
        </w:rPr>
      </w:pPr>
      <w:r w:rsidRPr="009E5E23">
        <w:rPr>
          <w:rFonts w:ascii="Verdana" w:eastAsia="Times New Roman" w:hAnsi="Verdana" w:cs="Arial"/>
          <w:color w:val="222222"/>
          <w:sz w:val="20"/>
          <w:szCs w:val="20"/>
        </w:rPr>
        <w:t>Badminton World Federation</w:t>
      </w:r>
    </w:p>
    <w:p w:rsidR="003B06E8" w:rsidRPr="009E5E23" w:rsidRDefault="003B06E8">
      <w:pPr>
        <w:rPr>
          <w:sz w:val="20"/>
          <w:szCs w:val="20"/>
        </w:rPr>
      </w:pPr>
    </w:p>
    <w:sectPr w:rsidR="003B06E8" w:rsidRPr="009E5E23" w:rsidSect="009E5E23">
      <w:pgSz w:w="12240" w:h="15840"/>
      <w:pgMar w:top="810" w:right="1440" w:bottom="117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E23"/>
    <w:rsid w:val="00241D96"/>
    <w:rsid w:val="003B06E8"/>
    <w:rsid w:val="009E5E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5E23"/>
  </w:style>
  <w:style w:type="paragraph" w:styleId="NormalWeb">
    <w:name w:val="Normal (Web)"/>
    <w:basedOn w:val="Normal"/>
    <w:uiPriority w:val="99"/>
    <w:semiHidden/>
    <w:unhideWhenUsed/>
    <w:rsid w:val="009E5E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5E23"/>
    <w:rPr>
      <w:color w:val="0000FF"/>
      <w:u w:val="single"/>
    </w:rPr>
  </w:style>
  <w:style w:type="paragraph" w:styleId="BalloonText">
    <w:name w:val="Balloon Text"/>
    <w:basedOn w:val="Normal"/>
    <w:link w:val="BalloonTextChar"/>
    <w:uiPriority w:val="99"/>
    <w:semiHidden/>
    <w:unhideWhenUsed/>
    <w:rsid w:val="009E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23"/>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pple-converted-space">
    <w:name w:val="apple-converted-space"/>
    <w:basedOn w:val="DefaultParagraphFont"/>
    <w:rsid w:val="009E5E23"/>
  </w:style>
  <w:style w:type="paragraph" w:styleId="NormalWeb">
    <w:name w:val="Normal (Web)"/>
    <w:basedOn w:val="Normal"/>
    <w:uiPriority w:val="99"/>
    <w:semiHidden/>
    <w:unhideWhenUsed/>
    <w:rsid w:val="009E5E23"/>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9E5E23"/>
    <w:rPr>
      <w:color w:val="0000FF"/>
      <w:u w:val="single"/>
    </w:rPr>
  </w:style>
  <w:style w:type="paragraph" w:styleId="BalloonText">
    <w:name w:val="Balloon Text"/>
    <w:basedOn w:val="Normal"/>
    <w:link w:val="BalloonTextChar"/>
    <w:uiPriority w:val="99"/>
    <w:semiHidden/>
    <w:unhideWhenUsed/>
    <w:rsid w:val="009E5E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5E2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33117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wfbadminton.org/page.aspx?id=21842" TargetMode="External"/><Relationship Id="rId3" Type="http://schemas.openxmlformats.org/officeDocument/2006/relationships/settings" Target="settings.xml"/><Relationship Id="rId7" Type="http://schemas.openxmlformats.org/officeDocument/2006/relationships/hyperlink" Target="http://www.bwfbadminton.org/page.aspx?id=14915"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www.bwfbadminton.org/page.aspx?id=15520"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781</Words>
  <Characters>4456</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1</cp:revision>
  <dcterms:created xsi:type="dcterms:W3CDTF">2012-07-09T11:49:00Z</dcterms:created>
  <dcterms:modified xsi:type="dcterms:W3CDTF">2012-07-09T11:53:00Z</dcterms:modified>
</cp:coreProperties>
</file>